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1622DDA0" w:rsidR="003935A8" w:rsidRPr="008F4EB9" w:rsidRDefault="00CA6BDE" w:rsidP="003935A8">
      <w:pPr>
        <w:jc w:val="both"/>
        <w:rPr>
          <w:rFonts w:ascii="Times New Roman" w:hAnsi="Times New Roman" w:cs="Times New Roman"/>
        </w:rPr>
      </w:pPr>
      <w:r>
        <w:rPr>
          <w:rFonts w:ascii="Times New Roman" w:hAnsi="Times New Roman" w:cs="Times New Roman"/>
          <w:b/>
          <w:bCs/>
          <w:i/>
        </w:rPr>
        <w:t xml:space="preserve">Ms. K. </w:t>
      </w:r>
      <w:r w:rsidR="0036642D">
        <w:rPr>
          <w:rFonts w:ascii="Times New Roman" w:hAnsi="Times New Roman" w:cs="Times New Roman"/>
          <w:b/>
          <w:bCs/>
          <w:i/>
        </w:rPr>
        <w:t xml:space="preserve">Morgan, </w:t>
      </w:r>
      <w:r w:rsidR="009873A0">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77777777"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CA6BDE">
        <w:rPr>
          <w:rFonts w:ascii="Times New Roman" w:hAnsi="Times New Roman" w:cs="Times New Roman"/>
        </w:rPr>
        <w:t>morgaka</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0AC5BDB8" w14:textId="1D462283" w:rsidR="003935A8" w:rsidRDefault="001059D1" w:rsidP="003935A8">
      <w:pPr>
        <w:rPr>
          <w:rFonts w:ascii="Times New Roman" w:hAnsi="Times New Roman" w:cs="Times New Roman"/>
          <w:color w:val="222222"/>
          <w:sz w:val="24"/>
          <w:szCs w:val="23"/>
          <w:shd w:val="clear" w:color="auto" w:fill="FFFFFF"/>
        </w:rPr>
      </w:pPr>
      <w:r w:rsidRPr="00E32381">
        <w:rPr>
          <w:rFonts w:ascii="Times New Roman" w:hAnsi="Times New Roman" w:cs="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26A6CC84" w14:textId="77777777" w:rsidR="00E32381" w:rsidRPr="00E32381" w:rsidRDefault="00E32381" w:rsidP="003935A8">
      <w:pPr>
        <w:rPr>
          <w:rFonts w:ascii="Times New Roman" w:hAnsi="Times New Roman" w:cs="Times New Roman"/>
          <w:sz w:val="28"/>
          <w:szCs w:val="24"/>
        </w:rPr>
      </w:pPr>
    </w:p>
    <w:p w14:paraId="5F0BED12" w14:textId="7F7301C5"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w:t>
      </w:r>
      <w:r w:rsidR="002C22E1">
        <w:rPr>
          <w:rFonts w:ascii="Times New Roman" w:hAnsi="Times New Roman" w:cs="Times New Roman"/>
          <w:sz w:val="24"/>
          <w:szCs w:val="24"/>
        </w:rPr>
        <w:t xml:space="preserve">Concepts and Connections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6792B257" w14:textId="2217FFB5" w:rsidR="00AF07AD" w:rsidRPr="00F11A2B" w:rsidRDefault="00F11A2B" w:rsidP="00AF07AD">
      <w:pPr>
        <w:pStyle w:val="NoSpacing"/>
        <w:rPr>
          <w:rFonts w:ascii="Times New Roman" w:hAnsi="Times New Roman" w:cs="Times New Roman"/>
          <w:sz w:val="24"/>
          <w:szCs w:val="24"/>
        </w:rPr>
      </w:pPr>
      <w:r w:rsidRPr="00F11A2B">
        <w:rPr>
          <w:rFonts w:ascii="Times New Roman" w:hAnsi="Times New Roman" w:cs="Times New Roman"/>
          <w:sz w:val="24"/>
          <w:szCs w:val="24"/>
        </w:rPr>
        <w:t xml:space="preserve">Unit 0: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22E1">
        <w:rPr>
          <w:rFonts w:ascii="Times New Roman" w:hAnsi="Times New Roman" w:cs="Times New Roman"/>
          <w:sz w:val="24"/>
          <w:szCs w:val="24"/>
        </w:rPr>
        <w:t>4</w:t>
      </w:r>
      <w:r>
        <w:rPr>
          <w:rFonts w:ascii="Times New Roman" w:hAnsi="Times New Roman" w:cs="Times New Roman"/>
          <w:sz w:val="24"/>
          <w:szCs w:val="24"/>
        </w:rPr>
        <w:t xml:space="preserve"> days</w:t>
      </w:r>
    </w:p>
    <w:p w14:paraId="01D0958A" w14:textId="5A44A718"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1: </w:t>
      </w:r>
      <w:r w:rsidR="0042079F">
        <w:rPr>
          <w:rFonts w:ascii="Times New Roman" w:hAnsi="Times New Roman" w:cs="Times New Roman"/>
          <w:sz w:val="24"/>
          <w:szCs w:val="24"/>
        </w:rPr>
        <w:t>Modeling Linear Functions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00F11A2B">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20 days</w:t>
      </w:r>
    </w:p>
    <w:p w14:paraId="3A05921F" w14:textId="1D0F314C" w:rsidR="003935A8" w:rsidRPr="00CA6BDE" w:rsidRDefault="00AF07AD"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r>
      <w:r w:rsidR="00F11A2B">
        <w:rPr>
          <w:rFonts w:ascii="Times New Roman" w:hAnsi="Times New Roman" w:cs="Times New Roman"/>
          <w:sz w:val="24"/>
          <w:szCs w:val="24"/>
        </w:rPr>
        <w:t xml:space="preserve">/Pre-Unit </w:t>
      </w:r>
      <w:r w:rsidR="00FE5D45">
        <w:rPr>
          <w:rFonts w:ascii="Times New Roman" w:hAnsi="Times New Roman" w:cs="Times New Roman"/>
          <w:sz w:val="24"/>
          <w:szCs w:val="24"/>
        </w:rPr>
        <w:t>Review Buffer Unit</w:t>
      </w:r>
      <w:r>
        <w:rPr>
          <w:rFonts w:ascii="Times New Roman" w:hAnsi="Times New Roman" w:cs="Times New Roman"/>
          <w:sz w:val="24"/>
          <w:szCs w:val="24"/>
        </w:rPr>
        <w:t xml:space="preserve"> 1</w:t>
      </w:r>
      <w:r>
        <w:rPr>
          <w:rFonts w:ascii="Times New Roman" w:hAnsi="Times New Roman" w:cs="Times New Roman"/>
          <w:sz w:val="24"/>
          <w:szCs w:val="24"/>
        </w:rPr>
        <w:tab/>
      </w:r>
      <w:r w:rsidR="00FE5D45">
        <w:rPr>
          <w:rFonts w:ascii="Times New Roman" w:hAnsi="Times New Roman" w:cs="Times New Roman"/>
          <w:sz w:val="24"/>
          <w:szCs w:val="24"/>
        </w:rPr>
        <w:t>3 days</w:t>
      </w:r>
    </w:p>
    <w:p w14:paraId="02C37194" w14:textId="02A5276F" w:rsidR="00C11A48"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2</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 xml:space="preserve">Analyzing </w:t>
      </w:r>
      <w:r w:rsidR="0042079F">
        <w:rPr>
          <w:rFonts w:ascii="Times New Roman" w:hAnsi="Times New Roman" w:cs="Times New Roman"/>
          <w:sz w:val="24"/>
          <w:szCs w:val="24"/>
        </w:rPr>
        <w:t>Linear Inequalities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ab/>
      </w:r>
      <w:r w:rsidR="0042079F">
        <w:rPr>
          <w:rFonts w:ascii="Times New Roman" w:hAnsi="Times New Roman" w:cs="Times New Roman"/>
          <w:sz w:val="24"/>
          <w:szCs w:val="24"/>
        </w:rPr>
        <w:t>9 days</w:t>
      </w:r>
      <w:r w:rsidR="00C11A48" w:rsidRPr="00CA6BDE">
        <w:rPr>
          <w:rFonts w:ascii="Times New Roman" w:hAnsi="Times New Roman" w:cs="Times New Roman"/>
          <w:sz w:val="24"/>
          <w:szCs w:val="24"/>
        </w:rPr>
        <w:t xml:space="preserve"> </w:t>
      </w:r>
    </w:p>
    <w:p w14:paraId="1EE8FBBB" w14:textId="3FF3A6BB"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w:t>
      </w:r>
      <w:r w:rsidR="00AF07AD">
        <w:rPr>
          <w:rFonts w:ascii="Times New Roman" w:hAnsi="Times New Roman" w:cs="Times New Roman"/>
          <w:sz w:val="24"/>
          <w:szCs w:val="24"/>
        </w:rPr>
        <w:t xml:space="preserve"> 2</w:t>
      </w:r>
      <w:r w:rsidR="00AF07AD">
        <w:rPr>
          <w:rFonts w:ascii="Times New Roman" w:hAnsi="Times New Roman" w:cs="Times New Roman"/>
          <w:sz w:val="24"/>
          <w:szCs w:val="24"/>
        </w:rPr>
        <w:tab/>
      </w:r>
      <w:r>
        <w:rPr>
          <w:rFonts w:ascii="Times New Roman" w:hAnsi="Times New Roman" w:cs="Times New Roman"/>
          <w:sz w:val="24"/>
          <w:szCs w:val="24"/>
        </w:rPr>
        <w:t>3 days</w:t>
      </w:r>
    </w:p>
    <w:p w14:paraId="6B0DFAEB" w14:textId="495934F7"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3</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Investigating Rational and Irrational Numbers</w:t>
      </w:r>
      <w:r w:rsidR="00FE5D45">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10 days</w:t>
      </w:r>
    </w:p>
    <w:p w14:paraId="125FECE1" w14:textId="3B61F36D"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AF07AD">
        <w:rPr>
          <w:rFonts w:ascii="Times New Roman" w:hAnsi="Times New Roman" w:cs="Times New Roman"/>
          <w:sz w:val="24"/>
          <w:szCs w:val="24"/>
        </w:rPr>
        <w:t>3</w:t>
      </w:r>
      <w:r w:rsidR="00AF07AD">
        <w:rPr>
          <w:rFonts w:ascii="Times New Roman" w:hAnsi="Times New Roman" w:cs="Times New Roman"/>
          <w:sz w:val="24"/>
          <w:szCs w:val="24"/>
        </w:rPr>
        <w:tab/>
      </w:r>
      <w:r>
        <w:rPr>
          <w:rFonts w:ascii="Times New Roman" w:hAnsi="Times New Roman" w:cs="Times New Roman"/>
          <w:sz w:val="24"/>
          <w:szCs w:val="24"/>
        </w:rPr>
        <w:t>3 days</w:t>
      </w:r>
    </w:p>
    <w:p w14:paraId="15404D52" w14:textId="09472E73" w:rsidR="00FE5D45" w:rsidRDefault="00FE5D45" w:rsidP="003935A8">
      <w:pPr>
        <w:rPr>
          <w:rFonts w:ascii="Times New Roman" w:hAnsi="Times New Roman" w:cs="Times New Roman"/>
          <w:sz w:val="24"/>
          <w:szCs w:val="24"/>
        </w:rPr>
      </w:pPr>
      <w:r>
        <w:rPr>
          <w:rFonts w:ascii="Times New Roman" w:hAnsi="Times New Roman" w:cs="Times New Roman"/>
          <w:sz w:val="24"/>
          <w:szCs w:val="24"/>
        </w:rPr>
        <w:t>Unit 4: Modeling and Analyzing Quadratic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79F">
        <w:rPr>
          <w:rFonts w:ascii="Times New Roman" w:hAnsi="Times New Roman" w:cs="Times New Roman"/>
          <w:sz w:val="24"/>
          <w:szCs w:val="24"/>
        </w:rPr>
        <w:t>33 days</w:t>
      </w:r>
    </w:p>
    <w:p w14:paraId="2F9E863D" w14:textId="6719A316" w:rsidR="00FE5D45" w:rsidRPr="00CA6BDE" w:rsidRDefault="00FE5D45" w:rsidP="003935A8">
      <w:pPr>
        <w:rPr>
          <w:rFonts w:ascii="Times New Roman" w:hAnsi="Times New Roman" w:cs="Times New Roman"/>
          <w:sz w:val="24"/>
          <w:szCs w:val="24"/>
        </w:rPr>
      </w:pPr>
      <w:bookmarkStart w:id="0" w:name="_Hlk173225902"/>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284DB4">
        <w:rPr>
          <w:rFonts w:ascii="Times New Roman" w:hAnsi="Times New Roman" w:cs="Times New Roman"/>
          <w:sz w:val="24"/>
          <w:szCs w:val="24"/>
        </w:rPr>
        <w:t>4</w:t>
      </w:r>
      <w:r>
        <w:rPr>
          <w:rFonts w:ascii="Times New Roman" w:hAnsi="Times New Roman" w:cs="Times New Roman"/>
          <w:sz w:val="24"/>
          <w:szCs w:val="24"/>
        </w:rPr>
        <w:tab/>
        <w:t>3 days</w:t>
      </w:r>
    </w:p>
    <w:bookmarkEnd w:id="0"/>
    <w:p w14:paraId="050F2F9C" w14:textId="29BD7EA6"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5</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Modeling and Analyzing Exponential Expressions &amp; Equations</w:t>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42079F">
        <w:rPr>
          <w:rFonts w:ascii="Times New Roman" w:hAnsi="Times New Roman" w:cs="Times New Roman"/>
          <w:sz w:val="24"/>
          <w:szCs w:val="24"/>
        </w:rPr>
        <w:t>10 days</w:t>
      </w:r>
    </w:p>
    <w:p w14:paraId="0262B645" w14:textId="5A75385A" w:rsidR="00284DB4" w:rsidRDefault="00284DB4" w:rsidP="00284DB4">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 5</w:t>
      </w:r>
      <w:r>
        <w:rPr>
          <w:rFonts w:ascii="Times New Roman" w:hAnsi="Times New Roman" w:cs="Times New Roman"/>
          <w:sz w:val="24"/>
          <w:szCs w:val="24"/>
        </w:rPr>
        <w:tab/>
        <w:t>3 days</w:t>
      </w:r>
    </w:p>
    <w:p w14:paraId="01509BEA" w14:textId="77777777" w:rsidR="0042079F"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6</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Analyzing Exponential Functions</w:t>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42079F">
        <w:rPr>
          <w:rFonts w:ascii="Times New Roman" w:hAnsi="Times New Roman" w:cs="Times New Roman"/>
          <w:sz w:val="24"/>
          <w:szCs w:val="24"/>
        </w:rPr>
        <w:t>20 days</w:t>
      </w:r>
    </w:p>
    <w:p w14:paraId="0299858A" w14:textId="64F56486" w:rsidR="0042079F" w:rsidRPr="00CA6BDE" w:rsidRDefault="0042079F" w:rsidP="0042079F">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6</w:t>
      </w:r>
      <w:r>
        <w:rPr>
          <w:rFonts w:ascii="Times New Roman" w:hAnsi="Times New Roman" w:cs="Times New Roman"/>
          <w:sz w:val="24"/>
          <w:szCs w:val="24"/>
        </w:rPr>
        <w:tab/>
        <w:t>3 days</w:t>
      </w:r>
    </w:p>
    <w:p w14:paraId="128545D1" w14:textId="13C3F1D8" w:rsidR="00C11A48" w:rsidRDefault="002E62D7" w:rsidP="003935A8">
      <w:pPr>
        <w:rPr>
          <w:rFonts w:ascii="Times New Roman" w:hAnsi="Times New Roman" w:cs="Times New Roman"/>
          <w:sz w:val="24"/>
          <w:szCs w:val="24"/>
        </w:rPr>
      </w:pPr>
      <w:r>
        <w:rPr>
          <w:rFonts w:ascii="Times New Roman" w:hAnsi="Times New Roman" w:cs="Times New Roman"/>
          <w:sz w:val="24"/>
          <w:szCs w:val="24"/>
        </w:rPr>
        <w:t>Unit 7: Investigating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days</w:t>
      </w:r>
    </w:p>
    <w:p w14:paraId="4D942F1A" w14:textId="4BB8C188"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7</w:t>
      </w:r>
      <w:r>
        <w:rPr>
          <w:rFonts w:ascii="Times New Roman" w:hAnsi="Times New Roman" w:cs="Times New Roman"/>
          <w:sz w:val="24"/>
          <w:szCs w:val="24"/>
        </w:rPr>
        <w:tab/>
        <w:t>3 days</w:t>
      </w:r>
    </w:p>
    <w:p w14:paraId="5F219ECB" w14:textId="343B24FF" w:rsidR="002E62D7" w:rsidRDefault="002E62D7" w:rsidP="003935A8">
      <w:pPr>
        <w:rPr>
          <w:rFonts w:ascii="Times New Roman" w:hAnsi="Times New Roman" w:cs="Times New Roman"/>
          <w:sz w:val="24"/>
          <w:szCs w:val="24"/>
        </w:rPr>
      </w:pPr>
      <w:r>
        <w:rPr>
          <w:rFonts w:ascii="Times New Roman" w:hAnsi="Times New Roman" w:cs="Times New Roman"/>
          <w:sz w:val="24"/>
          <w:szCs w:val="24"/>
        </w:rPr>
        <w:t>Unit 8: Algebraic Connections to Geometric Concepts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days</w:t>
      </w:r>
    </w:p>
    <w:p w14:paraId="18AD7264" w14:textId="76196F21"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8</w:t>
      </w:r>
      <w:r>
        <w:rPr>
          <w:rFonts w:ascii="Times New Roman" w:hAnsi="Times New Roman" w:cs="Times New Roman"/>
          <w:sz w:val="24"/>
          <w:szCs w:val="24"/>
        </w:rPr>
        <w:tab/>
        <w:t>2 days</w:t>
      </w:r>
    </w:p>
    <w:p w14:paraId="1D1A80D8" w14:textId="739A4828" w:rsidR="00284DB4" w:rsidRDefault="002E62D7" w:rsidP="003935A8">
      <w:pPr>
        <w:rPr>
          <w:rFonts w:ascii="Times New Roman" w:hAnsi="Times New Roman" w:cs="Times New Roman"/>
          <w:sz w:val="24"/>
          <w:szCs w:val="24"/>
        </w:rPr>
      </w:pPr>
      <w:r>
        <w:rPr>
          <w:rFonts w:ascii="Times New Roman" w:hAnsi="Times New Roman" w:cs="Times New Roman"/>
          <w:sz w:val="24"/>
          <w:szCs w:val="24"/>
        </w:rPr>
        <w:t xml:space="preserve">Culminating Capstone Unit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Pr>
          <w:rFonts w:ascii="Times New Roman" w:hAnsi="Times New Roman" w:cs="Times New Roman"/>
          <w:sz w:val="24"/>
          <w:szCs w:val="24"/>
        </w:rPr>
        <w:t>25 days</w:t>
      </w:r>
    </w:p>
    <w:p w14:paraId="1DD40E63" w14:textId="77777777" w:rsidR="00C11A48" w:rsidRDefault="00C11A48" w:rsidP="00AF07AD">
      <w:pPr>
        <w:pStyle w:val="NoSpacing"/>
      </w:pPr>
    </w:p>
    <w:p w14:paraId="6B38ACED" w14:textId="1E80CCFB"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a </w:t>
      </w:r>
      <w:r w:rsidR="001059D1" w:rsidRPr="002C22E1">
        <w:rPr>
          <w:rFonts w:ascii="Times New Roman" w:hAnsi="Times New Roman" w:cs="Times New Roman"/>
          <w:b/>
          <w:sz w:val="24"/>
          <w:szCs w:val="24"/>
        </w:rPr>
        <w:t>school laptop</w:t>
      </w:r>
      <w:r w:rsidR="001059D1">
        <w:rPr>
          <w:rFonts w:ascii="Times New Roman" w:hAnsi="Times New Roman" w:cs="Times New Roman"/>
          <w:sz w:val="24"/>
          <w:szCs w:val="24"/>
        </w:rPr>
        <w:t xml:space="preserve">,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34DF0BE1" w14:textId="77777777" w:rsidR="002E62D7" w:rsidRDefault="002E62D7" w:rsidP="00133309">
      <w:pPr>
        <w:rPr>
          <w:b/>
          <w:szCs w:val="24"/>
          <w:u w:val="single"/>
        </w:rPr>
      </w:pPr>
      <w:bookmarkStart w:id="1" w:name="_GoBack"/>
      <w:bookmarkEnd w:id="1"/>
    </w:p>
    <w:p w14:paraId="47E0AECA" w14:textId="77777777" w:rsidR="002E62D7" w:rsidRDefault="002E62D7" w:rsidP="00133309">
      <w:pPr>
        <w:rPr>
          <w:b/>
          <w:szCs w:val="24"/>
          <w:u w:val="single"/>
        </w:rPr>
      </w:pPr>
    </w:p>
    <w:p w14:paraId="04D31F61" w14:textId="77777777" w:rsidR="002E62D7" w:rsidRDefault="002E62D7" w:rsidP="00133309">
      <w:pPr>
        <w:rPr>
          <w:b/>
          <w:szCs w:val="24"/>
          <w:u w:val="single"/>
        </w:rPr>
      </w:pPr>
    </w:p>
    <w:p w14:paraId="47FD1CC1" w14:textId="77777777" w:rsidR="002E62D7" w:rsidRDefault="002E62D7" w:rsidP="00133309">
      <w:pPr>
        <w:rPr>
          <w:b/>
          <w:szCs w:val="24"/>
          <w:u w:val="single"/>
        </w:rPr>
      </w:pPr>
    </w:p>
    <w:p w14:paraId="75F15911" w14:textId="77777777" w:rsidR="002E62D7" w:rsidRDefault="002E62D7" w:rsidP="00133309">
      <w:pPr>
        <w:rPr>
          <w:b/>
          <w:szCs w:val="24"/>
          <w:u w:val="single"/>
        </w:rPr>
      </w:pPr>
    </w:p>
    <w:p w14:paraId="2BDEE674" w14:textId="5444FED7"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213BB4B4" w14:textId="73002832"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absence will be allowed five days to turn in the missed </w:t>
      </w:r>
      <w:r w:rsidR="009873A0"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9873A0">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9873A0">
        <w:rPr>
          <w:rFonts w:ascii="Times New Roman" w:hAnsi="Times New Roman" w:cs="Times New Roman"/>
          <w:sz w:val="24"/>
        </w:rPr>
        <w:t xml:space="preserve">a </w:t>
      </w:r>
      <w:r w:rsidRPr="00133309">
        <w:rPr>
          <w:rFonts w:ascii="Times New Roman" w:hAnsi="Times New Roman" w:cs="Times New Roman"/>
          <w:sz w:val="24"/>
        </w:rPr>
        <w:t xml:space="preserve">case by case basis. </w:t>
      </w:r>
      <w:r w:rsidRPr="00133309">
        <w:rPr>
          <w:rFonts w:ascii="Times New Roman" w:hAnsi="Times New Roman" w:cs="Times New Roman"/>
          <w:b/>
          <w:bCs/>
          <w:sz w:val="24"/>
        </w:rPr>
        <w:t xml:space="preserve">It is </w:t>
      </w:r>
      <w:r w:rsidR="009873A0">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 assistance.</w:t>
      </w:r>
    </w:p>
    <w:p w14:paraId="15A3AFFE" w14:textId="77777777" w:rsidR="00133309" w:rsidRDefault="00133309" w:rsidP="00133309">
      <w:pPr>
        <w:rPr>
          <w:b/>
          <w:bCs/>
          <w:sz w:val="24"/>
          <w:szCs w:val="24"/>
          <w:u w:val="single"/>
        </w:rPr>
      </w:pPr>
    </w:p>
    <w:p w14:paraId="618C41A0" w14:textId="44492ECB"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Algebra </w:t>
      </w:r>
      <w:r w:rsidR="001059D1">
        <w:rPr>
          <w:rFonts w:ascii="Times New Roman" w:hAnsi="Times New Roman" w:cs="Times New Roman"/>
          <w:sz w:val="24"/>
        </w:rPr>
        <w:t>Connections and Concepts</w:t>
      </w:r>
      <w:r w:rsidRPr="00BD4877">
        <w:rPr>
          <w:rFonts w:ascii="Times New Roman" w:hAnsi="Times New Roman" w:cs="Times New Roman"/>
          <w:sz w:val="24"/>
        </w:rPr>
        <w:t xml:space="preserve"> students are required to take the Georgia Milestone</w:t>
      </w:r>
      <w:r w:rsidR="001059D1">
        <w:rPr>
          <w:rFonts w:ascii="Times New Roman" w:hAnsi="Times New Roman" w:cs="Times New Roman"/>
          <w:sz w:val="24"/>
        </w:rPr>
        <w:t>s Assessment</w:t>
      </w:r>
      <w:r w:rsidRPr="00BD4877">
        <w:rPr>
          <w:rFonts w:ascii="Times New Roman" w:hAnsi="Times New Roman" w:cs="Times New Roman"/>
          <w:sz w:val="24"/>
        </w:rPr>
        <w:t xml:space="preserve"> which will count as </w:t>
      </w:r>
      <w:r w:rsidR="001059D1">
        <w:rPr>
          <w:rFonts w:ascii="Times New Roman" w:hAnsi="Times New Roman" w:cs="Times New Roman"/>
          <w:sz w:val="24"/>
        </w:rPr>
        <w:t>1</w:t>
      </w:r>
      <w:r w:rsidRPr="00BD4877">
        <w:rPr>
          <w:rFonts w:ascii="Times New Roman" w:hAnsi="Times New Roman" w:cs="Times New Roman"/>
          <w:sz w:val="24"/>
        </w:rPr>
        <w:t>0% of their final grade. For this course grades will be assigned as follows:</w:t>
      </w:r>
    </w:p>
    <w:p w14:paraId="05BFA437" w14:textId="77777777" w:rsidR="00BD4877" w:rsidRDefault="00BD4877" w:rsidP="00BD4877"/>
    <w:p w14:paraId="4E871979" w14:textId="27E483A4" w:rsidR="00BD4877" w:rsidRPr="002C22E1" w:rsidRDefault="00BD4877" w:rsidP="00BD4877">
      <w:pPr>
        <w:rPr>
          <w:rFonts w:ascii="Times New Roman" w:hAnsi="Times New Roman" w:cs="Times New Roman"/>
          <w:b/>
          <w:sz w:val="28"/>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9873A0">
        <w:rPr>
          <w:rFonts w:ascii="Times New Roman" w:hAnsi="Times New Roman" w:cs="Times New Roman"/>
          <w:b/>
          <w:sz w:val="24"/>
        </w:rPr>
        <w:t>4</w:t>
      </w:r>
      <w:r w:rsidRPr="00BD4877">
        <w:rPr>
          <w:rFonts w:ascii="Times New Roman" w:hAnsi="Times New Roman" w:cs="Times New Roman"/>
          <w:b/>
          <w:sz w:val="24"/>
        </w:rPr>
        <w:t>0%</w:t>
      </w:r>
      <w:r w:rsidR="002E62D7">
        <w:rPr>
          <w:rFonts w:ascii="Times New Roman" w:hAnsi="Times New Roman" w:cs="Times New Roman"/>
          <w:b/>
          <w:sz w:val="24"/>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 xml:space="preserve">Unit Common Assessment, </w:t>
      </w:r>
      <w:r w:rsidR="002E62D7" w:rsidRPr="002C22E1">
        <w:rPr>
          <w:rFonts w:ascii="Times New Roman" w:hAnsi="Times New Roman" w:cs="Times New Roman"/>
          <w:b/>
          <w:sz w:val="24"/>
          <w:szCs w:val="23"/>
        </w:rPr>
        <w:t>Delta Math Virtual Quiz</w:t>
      </w:r>
      <w:r w:rsidR="00941A3D" w:rsidRPr="002C22E1">
        <w:rPr>
          <w:rFonts w:ascii="Times New Roman" w:hAnsi="Times New Roman" w:cs="Times New Roman"/>
          <w:b/>
          <w:sz w:val="24"/>
          <w:szCs w:val="23"/>
        </w:rPr>
        <w:t xml:space="preserve"> and </w:t>
      </w:r>
      <w:r w:rsidR="002C22E1" w:rsidRPr="002C22E1">
        <w:rPr>
          <w:rFonts w:ascii="Times New Roman" w:hAnsi="Times New Roman" w:cs="Times New Roman"/>
          <w:b/>
          <w:sz w:val="24"/>
          <w:szCs w:val="23"/>
        </w:rPr>
        <w:t>Projects)</w:t>
      </w:r>
    </w:p>
    <w:p w14:paraId="2FE906AF" w14:textId="2ABD67E9" w:rsidR="00BD4877" w:rsidRPr="00BD4877" w:rsidRDefault="00BD4877" w:rsidP="00BD4877">
      <w:pPr>
        <w:rPr>
          <w:rFonts w:ascii="Times New Roman" w:hAnsi="Times New Roman" w:cs="Times New Roman"/>
          <w:b/>
          <w:szCs w:val="23"/>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9873A0">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 xml:space="preserve">Classwork, Guided Notes, Journal Notes, Projects and </w:t>
      </w:r>
      <w:r w:rsidR="002E62D7">
        <w:rPr>
          <w:rFonts w:ascii="Times New Roman" w:hAnsi="Times New Roman" w:cs="Times New Roman"/>
          <w:b/>
          <w:sz w:val="24"/>
          <w:szCs w:val="23"/>
        </w:rPr>
        <w:t>IXL assignments</w:t>
      </w:r>
      <w:r w:rsidR="00941A3D">
        <w:rPr>
          <w:rFonts w:ascii="Times New Roman" w:hAnsi="Times New Roman" w:cs="Times New Roman"/>
          <w:b/>
          <w:sz w:val="24"/>
          <w:szCs w:val="23"/>
        </w:rPr>
        <w:t>)</w:t>
      </w:r>
    </w:p>
    <w:p w14:paraId="1354C5C8" w14:textId="6975EBF4" w:rsidR="00BD4877" w:rsidRDefault="00BD4877" w:rsidP="00BD4877">
      <w:pPr>
        <w:rPr>
          <w:rFonts w:ascii="Times New Roman" w:hAnsi="Times New Roman" w:cs="Times New Roman"/>
          <w:sz w:val="24"/>
          <w:szCs w:val="23"/>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2B91F0D5"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7A5A3DC2" w:rsidR="00BD4877"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Pr>
          <w:rFonts w:ascii="Times New Roman" w:hAnsi="Times New Roman" w:cs="Times New Roman"/>
          <w:b/>
          <w:sz w:val="24"/>
          <w:szCs w:val="24"/>
        </w:rPr>
        <w:t>(</w:t>
      </w:r>
      <w:r w:rsidR="002C22E1">
        <w:rPr>
          <w:rFonts w:ascii="Times New Roman" w:hAnsi="Times New Roman" w:cs="Times New Roman"/>
          <w:b/>
          <w:sz w:val="24"/>
          <w:szCs w:val="24"/>
        </w:rPr>
        <w:t>Any incomplete assigned work or required assignments)</w:t>
      </w:r>
    </w:p>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4E371C30" w:rsidR="0032724F" w:rsidRPr="0032724F" w:rsidRDefault="009873A0"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with a PowerPoint Presentation. The classroom expectations and consequences PowerPoint presentation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175B76FE" w:rsidR="003935A8" w:rsidRPr="00E71045" w:rsidRDefault="00E93C8F" w:rsidP="00E71045">
      <w:pPr>
        <w:pStyle w:val="NoSpacing"/>
        <w:rPr>
          <w:rFonts w:ascii="Times New Roman" w:hAnsi="Times New Roman" w:cs="Times New Roman"/>
          <w:color w:val="000000"/>
          <w:sz w:val="24"/>
        </w:rPr>
      </w:pPr>
      <w:r w:rsidRPr="00E71045">
        <w:rPr>
          <w:rFonts w:ascii="Times New Roman" w:hAnsi="Times New Roman" w:cs="Times New Roman"/>
          <w:color w:val="000000"/>
          <w:sz w:val="24"/>
        </w:rPr>
        <w:t>The primary goal is to meet the developmental needs of each student; therefore, student progress during each grading period will be closely monitored. A Parent conference should be scheduled for all students earning D’s and F’s at the end of each nine weeks grading period.</w:t>
      </w:r>
      <w:r w:rsidR="00E71045">
        <w:rPr>
          <w:rFonts w:ascii="Times New Roman" w:hAnsi="Times New Roman" w:cs="Times New Roman"/>
          <w:color w:val="000000"/>
          <w:sz w:val="24"/>
        </w:rPr>
        <w:t xml:space="preserve"> </w:t>
      </w:r>
      <w:r w:rsidRPr="00E93C8F">
        <w:rPr>
          <w:rFonts w:ascii="Times New Roman" w:hAnsi="Times New Roman" w:cs="Times New Roman"/>
          <w:color w:val="000000"/>
          <w:sz w:val="24"/>
          <w:szCs w:val="24"/>
        </w:rPr>
        <w:t xml:space="preserve">In order to schedule a conference with your teachers, please contact the Guidance Office </w:t>
      </w:r>
      <w:r w:rsidR="009873A0">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sidR="00E71045">
        <w:rPr>
          <w:rFonts w:ascii="Times New Roman" w:hAnsi="Times New Roman" w:cs="Times New Roman"/>
          <w:color w:val="000000"/>
          <w:sz w:val="24"/>
          <w:szCs w:val="24"/>
        </w:rPr>
        <w:t>89.</w:t>
      </w:r>
    </w:p>
    <w:sectPr w:rsidR="003935A8" w:rsidRPr="00E71045" w:rsidSect="00284DB4">
      <w:headerReference w:type="default" r:id="rId7"/>
      <w:footerReference w:type="default" r:id="rId8"/>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3108C" w14:textId="77777777" w:rsidR="002B7FEB" w:rsidRDefault="002B7FEB" w:rsidP="00A86C49">
      <w:r>
        <w:separator/>
      </w:r>
    </w:p>
  </w:endnote>
  <w:endnote w:type="continuationSeparator" w:id="0">
    <w:p w14:paraId="6B6B835C" w14:textId="77777777" w:rsidR="002B7FEB" w:rsidRDefault="002B7FEB"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A079E" w14:textId="77777777" w:rsidR="00574A9B"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511E18" w:rsidRPr="00897CB4" w:rsidRDefault="00F97A18">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E726" w14:textId="77777777" w:rsidR="002B7FEB" w:rsidRDefault="002B7FEB" w:rsidP="00A86C49">
      <w:r>
        <w:separator/>
      </w:r>
    </w:p>
  </w:footnote>
  <w:footnote w:type="continuationSeparator" w:id="0">
    <w:p w14:paraId="7B8DAF28" w14:textId="77777777" w:rsidR="002B7FEB" w:rsidRDefault="002B7FEB"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99C7" w14:textId="77777777" w:rsidR="00133309" w:rsidRPr="00C97B3F" w:rsidRDefault="00133309" w:rsidP="00133309">
    <w:pPr>
      <w:contextualSpacing/>
      <w:jc w:val="right"/>
      <w:rPr>
        <w:rFonts w:ascii="Lucida Calligraphy" w:hAnsi="Lucida Calligraphy"/>
        <w:b/>
        <w:color w:val="FF0000"/>
        <w:sz w:val="32"/>
        <w:szCs w:val="32"/>
      </w:rPr>
    </w:pPr>
    <w:r w:rsidRPr="00C97B3F">
      <w:rPr>
        <w:rFonts w:ascii="Lucida Calligraphy" w:hAnsi="Lucida Calligraphy"/>
        <w:b/>
        <w:noProof/>
        <w:color w:val="FF0000"/>
      </w:rPr>
      <w:drawing>
        <wp:anchor distT="0" distB="0" distL="114300" distR="114300" simplePos="0" relativeHeight="251660288"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B3F">
      <w:rPr>
        <w:rFonts w:ascii="Lucida Calligraphy" w:hAnsi="Lucida Calligraphy"/>
        <w:b/>
        <w:bCs/>
        <w:color w:val="FF0000"/>
        <w:sz w:val="28"/>
        <w:szCs w:val="28"/>
      </w:rPr>
      <w:t xml:space="preserve">           </w:t>
    </w:r>
    <w:r w:rsidRPr="00C97B3F">
      <w:rPr>
        <w:rFonts w:ascii="Lucida Calligraphy" w:hAnsi="Lucida Calligraphy"/>
        <w:b/>
        <w:bCs/>
        <w:color w:val="FF0000"/>
        <w:sz w:val="32"/>
        <w:szCs w:val="32"/>
      </w:rPr>
      <w:t xml:space="preserve">HEPHZIBAH COMPREHENSIVE HIGH SCHOOL </w:t>
    </w:r>
  </w:p>
  <w:p w14:paraId="31A1403F" w14:textId="1989C0DA" w:rsidR="00133309" w:rsidRPr="00133309"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Pr="00133309">
      <w:rPr>
        <w:rFonts w:ascii="Lucida Calligraphy" w:hAnsi="Lucida Calligraphy"/>
        <w:b/>
        <w:sz w:val="32"/>
        <w:szCs w:val="40"/>
      </w:rPr>
      <w:t xml:space="preserve">Algebra </w:t>
    </w:r>
    <w:r w:rsidR="0042079F">
      <w:rPr>
        <w:rFonts w:ascii="Lucida Calligraphy" w:hAnsi="Lucida Calligraphy"/>
        <w:b/>
        <w:sz w:val="32"/>
        <w:szCs w:val="40"/>
      </w:rPr>
      <w:t>Concepts and Connections</w:t>
    </w:r>
  </w:p>
  <w:p w14:paraId="4A65BB23" w14:textId="7DE829A3" w:rsidR="00133309" w:rsidRPr="00133309" w:rsidRDefault="00133309" w:rsidP="00133309">
    <w:pPr>
      <w:tabs>
        <w:tab w:val="center" w:pos="5184"/>
        <w:tab w:val="right" w:pos="10368"/>
      </w:tabs>
      <w:contextualSpacing/>
      <w:rPr>
        <w:b/>
        <w:sz w:val="40"/>
        <w:szCs w:val="40"/>
      </w:rPr>
    </w:pPr>
    <w:r w:rsidRPr="00133309">
      <w:rPr>
        <w:rFonts w:ascii="Lucida Calligraphy" w:hAnsi="Lucida Calligraphy"/>
        <w:b/>
        <w:sz w:val="32"/>
        <w:szCs w:val="40"/>
      </w:rPr>
      <w:tab/>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42079F">
      <w:rPr>
        <w:rFonts w:ascii="Lucida Calligraphy" w:hAnsi="Lucida Calligraphy"/>
        <w:b/>
        <w:sz w:val="32"/>
        <w:szCs w:val="40"/>
      </w:rPr>
      <w:t>4</w:t>
    </w:r>
    <w:r>
      <w:rPr>
        <w:rFonts w:ascii="Lucida Calligraphy" w:hAnsi="Lucida Calligraphy"/>
        <w:b/>
        <w:sz w:val="32"/>
        <w:szCs w:val="40"/>
      </w:rPr>
      <w:t>-202</w:t>
    </w:r>
    <w:r w:rsidR="0042079F">
      <w:rPr>
        <w:rFonts w:ascii="Lucida Calligraphy" w:hAnsi="Lucida Calligraphy"/>
        <w:b/>
        <w:sz w:val="32"/>
        <w:szCs w:val="40"/>
      </w:rPr>
      <w:t>5</w:t>
    </w:r>
    <w:r>
      <w:rPr>
        <w:b/>
        <w:sz w:val="40"/>
        <w:szCs w:val="40"/>
      </w:rPr>
      <w:tab/>
      <w:t xml:space="preserve">                                                                                   </w:t>
    </w:r>
  </w:p>
  <w:p w14:paraId="1DDD5976" w14:textId="305360D7" w:rsidR="002502C7" w:rsidRDefault="00BF19D3">
    <w:pPr>
      <w:pStyle w:val="Header"/>
    </w:pPr>
    <w:r w:rsidRPr="00D731A1">
      <w:rPr>
        <w:noProof/>
        <w:sz w:val="40"/>
        <w:szCs w:val="40"/>
      </w:rPr>
      <mc:AlternateContent>
        <mc:Choice Requires="wps">
          <w:drawing>
            <wp:anchor distT="0" distB="0" distL="114300" distR="114300" simplePos="0" relativeHeight="251659264" behindDoc="1" locked="0" layoutInCell="1" allowOverlap="1" wp14:anchorId="5E61EB8C" wp14:editId="332A09E6">
              <wp:simplePos x="0" y="0"/>
              <wp:positionH relativeFrom="page">
                <wp:align>right</wp:align>
              </wp:positionH>
              <wp:positionV relativeFrom="paragraph">
                <wp:posOffset>163830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418F35" id="Straight Connector 3" o:spid="_x0000_s1026" style="position:absolute;flip:y;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0.3pt,12.9pt" to="11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" strokecolor="black [3213]" strokeweight="13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D2FB4"/>
    <w:rsid w:val="000F62C4"/>
    <w:rsid w:val="001059D1"/>
    <w:rsid w:val="00133309"/>
    <w:rsid w:val="001C6ED1"/>
    <w:rsid w:val="00284DB4"/>
    <w:rsid w:val="002B7FEB"/>
    <w:rsid w:val="002C22E1"/>
    <w:rsid w:val="002E62D7"/>
    <w:rsid w:val="00324EAD"/>
    <w:rsid w:val="0032724F"/>
    <w:rsid w:val="0036642D"/>
    <w:rsid w:val="00391F79"/>
    <w:rsid w:val="003935A8"/>
    <w:rsid w:val="00397BDA"/>
    <w:rsid w:val="0042079F"/>
    <w:rsid w:val="00452B1E"/>
    <w:rsid w:val="00473B2C"/>
    <w:rsid w:val="004A276F"/>
    <w:rsid w:val="00707D92"/>
    <w:rsid w:val="00800CCE"/>
    <w:rsid w:val="00806007"/>
    <w:rsid w:val="008A1537"/>
    <w:rsid w:val="008F011B"/>
    <w:rsid w:val="00901D50"/>
    <w:rsid w:val="00941A3D"/>
    <w:rsid w:val="009873A0"/>
    <w:rsid w:val="009C3802"/>
    <w:rsid w:val="009F3FB1"/>
    <w:rsid w:val="00A07B54"/>
    <w:rsid w:val="00A60F02"/>
    <w:rsid w:val="00A86C49"/>
    <w:rsid w:val="00AF07AD"/>
    <w:rsid w:val="00B86D34"/>
    <w:rsid w:val="00BD4877"/>
    <w:rsid w:val="00BD5FBC"/>
    <w:rsid w:val="00BF19D3"/>
    <w:rsid w:val="00C11A48"/>
    <w:rsid w:val="00C335ED"/>
    <w:rsid w:val="00C97B3F"/>
    <w:rsid w:val="00CA6BDE"/>
    <w:rsid w:val="00D17A44"/>
    <w:rsid w:val="00D53952"/>
    <w:rsid w:val="00E32381"/>
    <w:rsid w:val="00E40333"/>
    <w:rsid w:val="00E71045"/>
    <w:rsid w:val="00E93C8F"/>
    <w:rsid w:val="00F11A2B"/>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Morgan, Kathy</cp:lastModifiedBy>
  <cp:revision>5</cp:revision>
  <cp:lastPrinted>2024-08-02T15:00:00Z</cp:lastPrinted>
  <dcterms:created xsi:type="dcterms:W3CDTF">2024-07-30T13:59:00Z</dcterms:created>
  <dcterms:modified xsi:type="dcterms:W3CDTF">2024-08-02T15:07:00Z</dcterms:modified>
</cp:coreProperties>
</file>